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jc w:val="left"/>
        <w:rPr>
          <w:rFonts w:ascii="Calibri" w:cs="Calibri" w:eastAsia="Calibri" w:hAnsi="Calibri"/>
          <w:b w:val="1"/>
          <w:color w:val="ff0000"/>
        </w:rPr>
      </w:pPr>
      <w:bookmarkStart w:colFirst="0" w:colLast="0" w:name="_heading=h.30j0zll" w:id="0"/>
      <w:bookmarkEnd w:id="0"/>
      <w:r w:rsidDel="00000000" w:rsidR="00000000" w:rsidRPr="00000000">
        <w:rPr>
          <w:rFonts w:ascii="Calibri" w:cs="Calibri" w:eastAsia="Calibri" w:hAnsi="Calibri"/>
          <w:b w:val="1"/>
          <w:color w:val="ff0000"/>
          <w:rtl w:val="0"/>
        </w:rPr>
        <w:t xml:space="preserve">Poskytovatel informuje, že ke dni 15.10.2024 byl do článku 4 Specifické podmínky Rozhodnutí o poskytnutí podpory přidán nový odstavec 9. </w:t>
      </w:r>
    </w:p>
    <w:p w:rsidR="00000000" w:rsidDel="00000000" w:rsidP="00000000" w:rsidRDefault="00000000" w:rsidRPr="00000000" w14:paraId="00000003">
      <w:pPr>
        <w:rPr>
          <w:rFonts w:ascii="Calibri" w:cs="Calibri" w:eastAsia="Calibri" w:hAnsi="Calibri"/>
          <w:b w:val="1"/>
          <w:color w:val="ff0000"/>
        </w:rPr>
      </w:pPr>
      <w:bookmarkStart w:colFirst="0" w:colLast="0" w:name="_heading=h.gjdgxs" w:id="1"/>
      <w:bookmarkEnd w:id="1"/>
      <w:r w:rsidDel="00000000" w:rsidR="00000000" w:rsidRPr="00000000">
        <w:rPr>
          <w:rFonts w:ascii="Calibri" w:cs="Calibri" w:eastAsia="Calibri" w:hAnsi="Calibri"/>
          <w:b w:val="1"/>
          <w:color w:val="ff0000"/>
          <w:rtl w:val="0"/>
        </w:rPr>
        <w:t xml:space="preserve">Poskytovatel informuje, že ke dni 12.9.2024 byl do článku 4 Specifické podmínky Rozhodnutí o poskytnutí podpory přidán nový pojem v odstavci 2 a v návaznosti na to byl aktualizován odstavec 6 článku 4 Specifické podmínky Rozhodnutí o poskytnutí podpory.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D">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10">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6">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7">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proto poskytovatel vydává toto Rozhodnutí. Veškeré pojmy použité v Rozhodnutí definujeme ve Všeobecných podmínkách.</w:t>
      </w:r>
    </w:p>
    <w:p w:rsidR="00000000" w:rsidDel="00000000" w:rsidP="00000000" w:rsidRDefault="00000000" w:rsidRPr="00000000" w14:paraId="0000001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C">
      <w:pPr>
        <w:numPr>
          <w:ilvl w:val="0"/>
          <w:numId w:val="6"/>
        </w:numPr>
        <w:ind w:left="360" w:hanging="360"/>
        <w:rPr>
          <w:rFonts w:ascii="Calibri" w:cs="Calibri" w:eastAsia="Calibri" w:hAnsi="Calibri"/>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D">
      <w:pPr>
        <w:numPr>
          <w:ilvl w:val="0"/>
          <w:numId w:val="6"/>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za podmínek pravidel poskytnutí podpory.</w:t>
      </w:r>
    </w:p>
    <w:p w:rsidR="00000000" w:rsidDel="00000000" w:rsidP="00000000" w:rsidRDefault="00000000" w:rsidRPr="00000000" w14:paraId="0000001E">
      <w:pPr>
        <w:numPr>
          <w:ilvl w:val="0"/>
          <w:numId w:val="6"/>
        </w:numPr>
        <w:ind w:left="360" w:hanging="360"/>
        <w:rPr/>
      </w:pPr>
      <w:r w:rsidDel="00000000" w:rsidR="00000000" w:rsidRPr="00000000">
        <w:rPr>
          <w:rFonts w:ascii="Calibri" w:cs="Calibri" w:eastAsia="Calibri" w:hAnsi="Calibri"/>
          <w:rtl w:val="0"/>
        </w:rPr>
        <w:t xml:space="preserve">Podporu poskytneme formou zvýšení výdajů organizační složky státu, která je příjemcem, ve smyslu § 4 odst. 1 ZPVV.</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2">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3">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4">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5">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9">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A">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30j0zll" w:id="2"/>
    <w:bookmarkEnd w:id="2"/>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D">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E">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F">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0">
      <w:pPr>
        <w:ind w:left="85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"Subcontracted partner" je pojem, který se vyskytuje v mezinárodním projektu. Jedná se o dodavatele služeb výzkumné povahy, který v případě, že je financován v rámci rozpočtu řešitele podporovaného TA ČR, podléhá pravidlům TA ČR pro subdodávky.</w:t>
      </w:r>
    </w:p>
    <w:p w:rsidR="00000000" w:rsidDel="00000000" w:rsidP="00000000" w:rsidRDefault="00000000" w:rsidRPr="00000000" w14:paraId="00000031">
      <w:pPr>
        <w:numPr>
          <w:ilvl w:val="0"/>
          <w:numId w:val="4"/>
        </w:numPr>
        <w:spacing w:after="240" w:before="240" w:lineRule="auto"/>
        <w:ind w:left="425" w:hanging="425"/>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2">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3">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4">
      <w:pPr>
        <w:spacing w:line="240" w:lineRule="auto"/>
        <w:ind w:left="850"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5">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6">
      <w:pPr>
        <w:ind w:left="850"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 – </w:t>
      </w:r>
      <w:r w:rsidDel="00000000" w:rsidR="00000000" w:rsidRPr="00000000">
        <w:rPr>
          <w:rFonts w:ascii="Calibri" w:cs="Calibri" w:eastAsia="Calibri" w:hAnsi="Calibri"/>
          <w:color w:val="ff0000"/>
          <w:rtl w:val="0"/>
        </w:rPr>
        <w:t xml:space="preserve">výjimku tvoří tzv. subcontracted partner.</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8">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Roboto" w:cs="Roboto" w:eastAsia="Roboto" w:hAnsi="Roboto"/>
          <w:sz w:val="20"/>
          <w:szCs w:val="20"/>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000000" w:rsidDel="00000000" w:rsidP="00000000" w:rsidRDefault="00000000" w:rsidRPr="00000000" w14:paraId="00000039">
      <w:pPr>
        <w:numPr>
          <w:ilvl w:val="0"/>
          <w:numId w:val="4"/>
        </w:numPr>
        <w:ind w:left="425" w:right="566" w:hanging="425"/>
        <w:rPr>
          <w:color w:val="ff0000"/>
        </w:rPr>
      </w:pPr>
      <w:r w:rsidDel="00000000" w:rsidR="00000000" w:rsidRPr="00000000">
        <w:rPr>
          <w:rFonts w:ascii="Calibri" w:cs="Calibri" w:eastAsia="Calibri" w:hAnsi="Calibri"/>
          <w:color w:val="ff0000"/>
          <w:rtl w:val="0"/>
        </w:rPr>
        <w:t xml:space="preserve">Plánují-li příjemci způsobilé náklady v roce 2025 (v případě zahájení řešení již v roce 2025), zahrnou je do nákladů za rok 2026. V návaznosti na toto ustanovení příjemce nepředkládá průběžnou zprávu za rok 2025. </w:t>
      </w:r>
      <w:r w:rsidDel="00000000" w:rsidR="00000000" w:rsidRPr="00000000">
        <w:rPr>
          <w:rtl w:val="0"/>
        </w:rPr>
      </w:r>
    </w:p>
    <w:p w:rsidR="00000000" w:rsidDel="00000000" w:rsidP="00000000" w:rsidRDefault="00000000" w:rsidRPr="00000000" w14:paraId="0000003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C">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r w:rsidDel="00000000" w:rsidR="00000000" w:rsidRPr="00000000">
        <w:rPr>
          <w:rtl w:val="0"/>
        </w:rPr>
      </w:r>
    </w:p>
    <w:p w:rsidR="00000000" w:rsidDel="00000000" w:rsidP="00000000" w:rsidRDefault="00000000" w:rsidRPr="00000000" w14:paraId="0000003D">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1">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2">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3">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4">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bookmark=id.1fob9te" w:id="3"/>
    <w:bookmarkEnd w:id="3"/>
    <w:p w:rsidR="00000000" w:rsidDel="00000000" w:rsidP="00000000" w:rsidRDefault="00000000" w:rsidRPr="00000000" w14:paraId="00000045">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3znysh7" w:id="4"/>
    <w:bookmarkEnd w:id="4"/>
    <w:r w:rsidDel="00000000" w:rsidR="00000000" w:rsidRPr="00000000">
      <w:rPr>
        <w:rFonts w:ascii="Calibri" w:cs="Calibri" w:eastAsia="Calibri" w:hAnsi="Calibri"/>
        <w:sz w:val="16"/>
        <w:szCs w:val="16"/>
        <w:rtl w:val="0"/>
      </w:rPr>
      <w:t xml:space="preserve">F-353, verze 5</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-892166</wp:posOffset>
          </wp:positionH>
          <wp:positionV relativeFrom="paragraph">
            <wp:posOffset>-441953</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8">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49">
    <w:pPr>
      <w:tabs>
        <w:tab w:val="center" w:leader="none" w:pos="4536"/>
        <w:tab w:val="right" w:leader="none" w:pos="9072"/>
      </w:tabs>
      <w:spacing w:before="0" w:line="240"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IAGLX6EE6ax1QAZDXL630l/zQ==">CgMxLjAyCWguMzBqMHpsbDIIaC5namRneHMyCmlkLjMwajB6bGwyCmlkLjFmb2I5dGUyCWguM3pueXNoNzgAciExVldQSVhOV05DUGFHV0VYbjRjVmNVeXMxOTZ2QWswOTc=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2024-09-12T11:55:00Z</dcterms:created>
  <dc:creator>Ondřej Kusbach</dc:creator>
</cp:coreProperties>
</file>